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D3" w:rsidRPr="00427ED3" w:rsidRDefault="00427ED3" w:rsidP="00427ED3">
      <w:pPr>
        <w:shd w:val="clear" w:color="auto" w:fill="CCE6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427ED3">
        <w:rPr>
          <w:rFonts w:ascii="Tahoma" w:eastAsia="Times New Roman" w:hAnsi="Tahoma" w:cs="Tahoma"/>
          <w:b/>
          <w:bCs/>
          <w:color w:val="454545"/>
          <w:sz w:val="19"/>
          <w:szCs w:val="19"/>
          <w:lang w:eastAsia="ru-RU"/>
        </w:rPr>
        <w:t>ПЕРЕЧЕНЬ</w:t>
      </w:r>
      <w:r w:rsidRPr="00427ED3">
        <w:rPr>
          <w:rFonts w:ascii="Tahoma" w:eastAsia="Times New Roman" w:hAnsi="Tahoma" w:cs="Tahoma"/>
          <w:b/>
          <w:bCs/>
          <w:color w:val="454545"/>
          <w:sz w:val="19"/>
          <w:lang w:eastAsia="ru-RU"/>
        </w:rPr>
        <w:t> </w:t>
      </w:r>
      <w:r w:rsidRPr="00427ED3">
        <w:rPr>
          <w:rFonts w:ascii="Tahoma" w:eastAsia="Times New Roman" w:hAnsi="Tahoma" w:cs="Tahoma"/>
          <w:b/>
          <w:bCs/>
          <w:color w:val="454545"/>
          <w:sz w:val="19"/>
          <w:szCs w:val="19"/>
          <w:lang w:eastAsia="ru-RU"/>
        </w:rPr>
        <w:br/>
        <w:t>работ и услуг по содержанию и ремонту общего имущества в МКД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E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15"/>
        <w:gridCol w:w="7920"/>
        <w:gridCol w:w="1953"/>
      </w:tblGrid>
      <w:tr w:rsidR="00427ED3" w:rsidRPr="00427ED3" w:rsidTr="00427ED3">
        <w:trPr>
          <w:tblCellSpacing w:w="0" w:type="dxa"/>
          <w:jc w:val="center"/>
        </w:trPr>
        <w:tc>
          <w:tcPr>
            <w:tcW w:w="7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Наименование работ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Периодичность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I. Санитарные работы по содержанию помещений общего пользования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I.I.</w:t>
            </w:r>
          </w:p>
        </w:tc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Лестничные клетки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Подметание полов во всех помещениях общего пользования (</w:t>
            </w:r>
            <w:proofErr w:type="gramStart"/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л</w:t>
            </w:r>
            <w:proofErr w:type="gramEnd"/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/марши и площадки)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1.1.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 -подметание полов во всех помещениях общего пользования (</w:t>
            </w:r>
            <w:proofErr w:type="gramStart"/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л</w:t>
            </w:r>
            <w:proofErr w:type="gramEnd"/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/марши и площадки) 1- 3 этаж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ежедневно в рабочие дни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1.2.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 -подметание полов во всех помещениях общего пользования (</w:t>
            </w:r>
            <w:proofErr w:type="gramStart"/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л</w:t>
            </w:r>
            <w:proofErr w:type="gramEnd"/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/марши и площадки) после 3 этажа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неделю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Влажная уборка полов мест общего пользования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неделю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I.II.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Дератизация, дезинсекция (мест общего пользования)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раза в год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Дезинфекция (мест общего пользования), очистка от мусора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мере необходимости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II. Содержание и обслуживание мусоропровода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Очистка и влажная уборка мусороприемных камер (с учетом погрузки мусора)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1.1.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 -удаление мусора из мусороприемных камер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ежедневно в рабочие дни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1.2.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 -влажное подметание пола мусороприемной камеры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ежедневно в рабочие дни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1.3.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 -подметание полов перед загрузочным клапаном мусоропровода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ежедневно в рабочие дни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Уборка стен и пола </w:t>
            </w:r>
            <w:proofErr w:type="spellStart"/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мусорокамер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неделю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Мытье и протирка закрывающих устройств мусоропровода (загрузочных клапанов)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неделю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Дезинфекция всех элементов ствола мусоропровода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месяц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Дезинфекция мусоросборников (бункеров, контейнеров, переносных контейнеров)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месяц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месяц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III. Обслуживание объектов внешнего благоустройства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III.I.</w:t>
            </w:r>
          </w:p>
        </w:tc>
        <w:tc>
          <w:tcPr>
            <w:tcW w:w="9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Подметание  территории с усовершенствованным и неусовершенствованным покрытием в летний период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ежедневно в рабочие дни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Сезонное выкашивание газонов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год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Уборка мусора с газона в летний период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 раз </w:t>
            </w:r>
            <w:proofErr w:type="gramStart"/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 двое</w:t>
            </w:r>
            <w:proofErr w:type="gramEnd"/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суток в рабочие дни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Очистка урн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ежедневно в рабочие дни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Уборка площадки перед входом в подъезд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ежедневно в рабочие дни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Очистка участка территории после механизированной уборки (в холодный период)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мере необходимости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Очистка территории от уплотненного снега и наледи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мере необходимости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Очистка </w:t>
            </w:r>
            <w:proofErr w:type="spellStart"/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отмостков</w:t>
            </w:r>
            <w:proofErr w:type="spellEnd"/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от уплотненного снега и наледи 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год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Подметание территории с усовершенствованным покрытием в зимний период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ежедневно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мере необходимости. Начало работ не позднее 2 часов  после начала снегопада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10.1.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 -Сдвижка снега при снегопаде (тротуар перед подъездом)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10.2.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 -Подметание снега при снегопаде  (тротуар перед подъездом)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11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Посыпка территории песком (тротуар перед подъездом), с учетом доставки и стоимости песка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сутки в дни гололеда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III.II.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Вывоз мусора от дворников (смёт), крупногабаритный мусор с погрузкой (валка деревьев, кустарников, отдельных ветвей с вывозом, строительный мусор и т.д.)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мере необходимости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IV. Подготовка многоквартирного дома к сезонной эксплуатации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Техническое обслуживание внутридомовых систем водоснабжения, теплоснабжения и канализации</w:t>
            </w:r>
          </w:p>
        </w:tc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год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- ревизия арматуры на внутридомовых системах;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 xml:space="preserve"> - консервация и </w:t>
            </w:r>
            <w:proofErr w:type="spellStart"/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расконсервация</w:t>
            </w:r>
            <w:proofErr w:type="spellEnd"/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 xml:space="preserve"> системы отопления, проверка систем;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год, в период начала и окончания отопительного сезона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 xml:space="preserve">- консервация и </w:t>
            </w:r>
            <w:proofErr w:type="spellStart"/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расконсервация</w:t>
            </w:r>
            <w:proofErr w:type="spellEnd"/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 xml:space="preserve"> системы горячего водоснабжения;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год, в период проведения плановых ремонтов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 - проверка систем центрального отопления в момент расконсервирования.  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год, в период начала отопительного сезона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Подготовка объектов внешнего благоустройства к сезонной эксплуатации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год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Поставка и снятие, укрепление и регулировка пружин, доводчиков и амортизаторов на входных дверях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раза в год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Замена разбитых стекол окон и дверей в помещениях общего пользования (не более 5 % от общего количества)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год, по мере необходимости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Ремонт и укрепление входных дверей в помещениях общего пользования (не более 5 % от общего количества)                                                          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год, по мере необходимости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V. Проведение технических осмотров, обслуживание и устранение незначительных неисправностей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Проведение технических осмотров и устранение незначительных неисправностей в системах вентиляции.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год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Проведение технических осмотров, обслуживание  и устранение незначительных неисправностей электротехнических устройств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мере необходимости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Проведение технических осмотров на внутриквартирных и внутридомовых системах водоснабжения</w:t>
            </w:r>
            <w:proofErr w:type="gramStart"/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теплоснабжения и канализации, с целью контроля работы оборудования, правильности эксплуатации помещения, предупредительного ремонта, консультации собственников по правильному пользованию внутридомовым оборудованием.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год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Обслуживание и устранение незначительных неисправностей на общестроительных конструкциях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мере необходимости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отдельному графику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VI. Обслуживание внутридомового сантехнического оборудования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Обслуживание узла коммерческого учета тепловой энергии, горячего водоснабжения (УКУТЭ)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месяц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Обслуживание индивидуальных тепловых пунктов (ИТП)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месяц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Обслуживание узлов учета холодного водоснабжения (ХВС)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месяц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Обслуживание системы видеонаблюдение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месяц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Обслуживание насосных установок для повышения давления в системе ХВС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раз в месяц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VII. Аварийно - диспетчерская служба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Аварийно - диспетчерская служба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ежедневно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VIII. Содержание и обслуживание лифтового оборудования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Лифт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ежедневно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IX. Освещение мест общего пользования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Освещение мест общего пользования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ежедневно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X.  Услуги вывоза и обезвреживания твердых бытовых отходов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Вывоз и обезвреживание твердых бытовых отходов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ежедневно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XI.  Управление многоквартирным домом</w:t>
            </w: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Управление многоквартирным домом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1.1.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 Хранение и ведение технической доку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мен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тации по многоквар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тирному дому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1.2.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Проведение технических осмотров мно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го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квартирного дома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1.3.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Заключение договоров с подрядными орга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ни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зациями на выполне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ние работ по содержанию и ремонту общего имущества многоквар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тирного дома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 1.4.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Заключение договоров теплоснабжения, водоотведения, газос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набже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ния, электро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снаб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 xml:space="preserve">жения. </w:t>
            </w:r>
            <w:proofErr w:type="gramStart"/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Осуществление контроля:</w:t>
            </w:r>
            <w:r w:rsidRPr="00427ED3">
              <w:rPr>
                <w:rFonts w:ascii="Tahoma" w:eastAsia="Times New Roman" w:hAnsi="Tahoma" w:cs="Tahoma"/>
                <w:sz w:val="19"/>
                <w:lang w:eastAsia="ru-RU"/>
              </w:rPr>
              <w:t> </w:t>
            </w: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- за качеством выполнения работ по содержанию и ремонту общего имуще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ства многоквартирного дома</w:t>
            </w:r>
            <w:r w:rsidRPr="00427ED3">
              <w:rPr>
                <w:rFonts w:ascii="Tahoma" w:eastAsia="Times New Roman" w:hAnsi="Tahoma" w:cs="Tahoma"/>
                <w:sz w:val="19"/>
                <w:lang w:eastAsia="ru-RU"/>
              </w:rPr>
              <w:t> </w:t>
            </w: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- за обеспечении потребителей коммуналь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ными услугами установлен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ного уров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ня качества в объеме, соответствующем при установлении усло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вий и порядка владения, пользования, и распоряжения общей собствен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ностью</w:t>
            </w:r>
            <w:proofErr w:type="gram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1.5.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Обеспечение соблюдения прав и закон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ных интересов собствен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ников помеще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ний в многоквартирном доме при установ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лении условий и поряд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ка владения, польз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ования и распоряжения общей собствен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ностью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1.6.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Применение мер, необходимых для предотвращения или прекращения дейс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твий третьих лиц, затрудняющую реализацию прав владения, пользова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ния и в установ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ленных законодательством преде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лах распо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ря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жения собс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твенни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ков помещений общим имуществом в многоквар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 xml:space="preserve">тирном доме или </w:t>
            </w:r>
            <w:proofErr w:type="gramStart"/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препятс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твующий</w:t>
            </w:r>
            <w:proofErr w:type="gramEnd"/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 xml:space="preserve"> этому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1.7.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Предоставление законных интересов соб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ст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вен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ников помещений в многоквар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тирном доме, в том числе в отношениях с третьими лицами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1.8.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Установление фактов причинения вре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да имуществу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1.9.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Начисление платежей гражданам за жилищно-коммунальные услуги по тарифам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1.10.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Сбор платежей с граждан за потреб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ленные жилищно-комму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наль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ные услуги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1.11.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Проведение мероприятий с должника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ми за потреб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ленные жилищно-коммуналь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ные услуги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1.12.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Проведение расчетов с поставщиками и подрядными организа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 xml:space="preserve">циями </w:t>
            </w:r>
            <w:proofErr w:type="gramStart"/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жилищно-коммуналь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ные</w:t>
            </w:r>
            <w:proofErr w:type="gramEnd"/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 xml:space="preserve"> услуг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1.13.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 xml:space="preserve">Проведение работ по согласованию объемов и </w:t>
            </w:r>
            <w:proofErr w:type="gramStart"/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стоимости</w:t>
            </w:r>
            <w:proofErr w:type="gramEnd"/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 xml:space="preserve"> предъявленных поставщиками  и подрядными организациями жилищно-коммуналь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ных услуг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1.14.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Изменение платы за коммунальные услуги при предоставлении коммуналь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 xml:space="preserve">ных услуг ненадлежащего качества </w:t>
            </w:r>
            <w:proofErr w:type="gramStart"/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и(</w:t>
            </w:r>
            <w:proofErr w:type="gramEnd"/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или) перерывами, превышающими установленную продолжительность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1.15.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Изменение платы за жилищные услуги при отсутствии граж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дан по месту жительства в соответствии законодатель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ством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1.16.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Предоставление устных и письменных разъяснений гражданам (нанимате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лям, соб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с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твенникам жилых помещений и членам их семей) о порядке пользо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вании жилыми поме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щениями и общим имуществом многоквар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тирного дома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1.17.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Осуществление регистрационного уче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та граждан, выдача спра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вок по месту требования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lastRenderedPageBreak/>
              <w:t>1.18.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Информирование граждан – собствен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ников жилых помещений об изменении тарифов на жилищно-коммунальные услуги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1.19.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t>Подготовка предложений о прове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дении капитального ремонта многоквар</w:t>
            </w:r>
            <w:r w:rsidRPr="00427ED3">
              <w:rPr>
                <w:rFonts w:ascii="Tahoma" w:eastAsia="Times New Roman" w:hAnsi="Tahoma" w:cs="Tahoma"/>
                <w:i/>
                <w:iCs/>
                <w:sz w:val="19"/>
                <w:lang w:eastAsia="ru-RU"/>
              </w:rPr>
              <w:softHyphen/>
              <w:t>тирного дома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27ED3" w:rsidRPr="00427ED3" w:rsidRDefault="00427ED3" w:rsidP="00427ED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27ED3" w:rsidRPr="00427ED3" w:rsidTr="00427ED3">
        <w:trPr>
          <w:tblCellSpacing w:w="0" w:type="dxa"/>
          <w:jc w:val="center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vAlign w:val="center"/>
            <w:hideMark/>
          </w:tcPr>
          <w:p w:rsidR="00427ED3" w:rsidRPr="00427ED3" w:rsidRDefault="00427ED3" w:rsidP="00427E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XII.  Текущий ремонт общего имущества (непредвиденный</w:t>
            </w:r>
            <w:proofErr w:type="gramStart"/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 xml:space="preserve"> ,</w:t>
            </w:r>
            <w:proofErr w:type="gramEnd"/>
            <w:r w:rsidRPr="00427ED3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 xml:space="preserve"> аварийный ремонт)</w:t>
            </w:r>
          </w:p>
        </w:tc>
      </w:tr>
    </w:tbl>
    <w:p w:rsidR="00427ED3" w:rsidRPr="00427ED3" w:rsidRDefault="00427ED3" w:rsidP="00427ED3">
      <w:pPr>
        <w:shd w:val="clear" w:color="auto" w:fill="CCE6FF"/>
        <w:spacing w:before="100" w:beforeAutospacing="1" w:after="12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427ED3">
        <w:rPr>
          <w:rFonts w:ascii="Tahoma" w:eastAsia="Times New Roman" w:hAnsi="Tahoma" w:cs="Tahoma"/>
          <w:i/>
          <w:iCs/>
          <w:color w:val="454545"/>
          <w:sz w:val="20"/>
          <w:szCs w:val="20"/>
          <w:lang w:eastAsia="ru-RU"/>
        </w:rPr>
        <w:t>Примечание:</w:t>
      </w:r>
    </w:p>
    <w:p w:rsidR="00427ED3" w:rsidRPr="00427ED3" w:rsidRDefault="00427ED3" w:rsidP="00427ED3">
      <w:pPr>
        <w:numPr>
          <w:ilvl w:val="0"/>
          <w:numId w:val="1"/>
        </w:numPr>
        <w:shd w:val="clear" w:color="auto" w:fill="CCE6FF"/>
        <w:spacing w:before="100" w:beforeAutospacing="1" w:after="120" w:line="240" w:lineRule="auto"/>
        <w:ind w:left="1080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427ED3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t>Аварийно-диспетчерская служба – осуществляет прием сообщений, заявок от населения и городских служб об аварийных ситуациях, прием заявок по устранению мелких неисправностей и повреждений общего имущества многоквартирного дома, оперативное устранение причин аварийных ситуаций, приводящих к угрозе жизни, здоровью граждан, а также порче их имущества.</w:t>
      </w:r>
    </w:p>
    <w:p w:rsidR="00911EA5" w:rsidRDefault="00911EA5"/>
    <w:sectPr w:rsidR="00911EA5" w:rsidSect="00427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C626C"/>
    <w:multiLevelType w:val="multilevel"/>
    <w:tmpl w:val="0690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ED3"/>
    <w:rsid w:val="00191126"/>
    <w:rsid w:val="00427ED3"/>
    <w:rsid w:val="005B03E6"/>
    <w:rsid w:val="0091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7ED3"/>
  </w:style>
  <w:style w:type="character" w:styleId="a4">
    <w:name w:val="Strong"/>
    <w:basedOn w:val="a0"/>
    <w:uiPriority w:val="22"/>
    <w:qFormat/>
    <w:rsid w:val="00427ED3"/>
    <w:rPr>
      <w:b/>
      <w:bCs/>
    </w:rPr>
  </w:style>
  <w:style w:type="character" w:styleId="a5">
    <w:name w:val="Emphasis"/>
    <w:basedOn w:val="a0"/>
    <w:uiPriority w:val="20"/>
    <w:qFormat/>
    <w:rsid w:val="00427E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1326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Зиля</cp:lastModifiedBy>
  <cp:revision>1</cp:revision>
  <dcterms:created xsi:type="dcterms:W3CDTF">2016-05-04T13:48:00Z</dcterms:created>
  <dcterms:modified xsi:type="dcterms:W3CDTF">2016-05-04T13:50:00Z</dcterms:modified>
</cp:coreProperties>
</file>